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bookmarkStart w:id="0" w:name="_GoBack"/>
      <w:bookmarkEnd w:id="0"/>
      <w:r w:rsidRPr="0036431A">
        <w:rPr>
          <w:b/>
          <w:sz w:val="28"/>
          <w:szCs w:val="28"/>
        </w:rPr>
        <w:t xml:space="preserve">University of Delaware </w:t>
      </w:r>
      <w:r w:rsidR="00466797" w:rsidRPr="0036431A">
        <w:rPr>
          <w:b/>
          <w:sz w:val="28"/>
          <w:szCs w:val="28"/>
        </w:rPr>
        <w:t xml:space="preserve">Teacher Candidate </w:t>
      </w:r>
    </w:p>
    <w:p w14:paraId="7801819F" w14:textId="47C520F6"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xml:space="preserve">: </w:t>
      </w:r>
      <w:r w:rsidR="00CF0AB6">
        <w:rPr>
          <w:b/>
          <w:sz w:val="28"/>
          <w:szCs w:val="28"/>
        </w:rPr>
        <w:t>Secondary English</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12C01E55"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6762FA">
              <w:rPr>
                <w:sz w:val="20"/>
              </w:rPr>
              <w:t>1</w:t>
            </w:r>
            <w:r w:rsidR="00E419A7">
              <w:rPr>
                <w:sz w:val="20"/>
              </w:rPr>
              <w:t>4</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1E5EC94B"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p>
        </w:tc>
        <w:tc>
          <w:tcPr>
            <w:tcW w:w="2070" w:type="dxa"/>
          </w:tcPr>
          <w:p w14:paraId="535A951B" w14:textId="77777777" w:rsidR="00FF3C19" w:rsidRPr="0036431A" w:rsidRDefault="00FF3C19" w:rsidP="00DD42DF">
            <w:pPr>
              <w:rPr>
                <w:sz w:val="20"/>
              </w:rPr>
            </w:pPr>
            <w:r w:rsidRPr="0036431A">
              <w:rPr>
                <w:sz w:val="20"/>
              </w:rPr>
              <w:t xml:space="preserve">Candidate provides no justification of the connection between the learners’ prior knowledge </w:t>
            </w:r>
            <w:proofErr w:type="gramStart"/>
            <w:r w:rsidRPr="0036431A">
              <w:rPr>
                <w:sz w:val="20"/>
              </w:rPr>
              <w:t>or</w:t>
            </w:r>
            <w:proofErr w:type="gramEnd"/>
            <w:r w:rsidRPr="0036431A">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 xml:space="preserve">Candidate provides a learning environment that serves primarily to control learner behavior and does not include opportunities for </w:t>
            </w:r>
            <w:proofErr w:type="gramStart"/>
            <w:r w:rsidRPr="0036431A">
              <w:rPr>
                <w:sz w:val="20"/>
              </w:rPr>
              <w:t>turn-taking</w:t>
            </w:r>
            <w:proofErr w:type="gramEnd"/>
            <w:r w:rsidRPr="0036431A">
              <w:rPr>
                <w:sz w:val="20"/>
              </w:rPr>
              <w:t>.</w:t>
            </w:r>
          </w:p>
        </w:tc>
        <w:tc>
          <w:tcPr>
            <w:tcW w:w="1980" w:type="dxa"/>
          </w:tcPr>
          <w:p w14:paraId="290DDA63" w14:textId="29A4460F" w:rsidR="00FF3C19" w:rsidRPr="0036431A" w:rsidRDefault="00FF3C19" w:rsidP="00DD42DF">
            <w:pPr>
              <w:rPr>
                <w:sz w:val="20"/>
              </w:rPr>
            </w:pPr>
            <w:r w:rsidRPr="0036431A">
              <w:rPr>
                <w:sz w:val="20"/>
              </w:rPr>
              <w:t xml:space="preserve">Candidate provides opportunities for learners to engage in discourse and </w:t>
            </w:r>
            <w:proofErr w:type="gramStart"/>
            <w:r w:rsidRPr="0036431A">
              <w:rPr>
                <w:sz w:val="20"/>
              </w:rPr>
              <w:t>turn-taking</w:t>
            </w:r>
            <w:proofErr w:type="gramEnd"/>
            <w:r w:rsidRPr="0036431A">
              <w:rPr>
                <w:sz w:val="20"/>
              </w:rPr>
              <w:t>.</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xml:space="preserve">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798C07A0"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UUses</w:t>
            </w:r>
            <w:proofErr w:type="spellEnd"/>
            <w:r w:rsidRPr="0036431A">
              <w:rPr>
                <w:rFonts w:ascii="Times New Roman" w:hAnsi="Times New Roman" w:cs="Times New Roman"/>
                <w:sz w:val="20"/>
              </w:rPr>
              <w:t xml:space="preserve"> available technology to impact learning</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EEngages</w:t>
            </w:r>
            <w:proofErr w:type="spellEnd"/>
            <w:r w:rsidRPr="0036431A">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MModels</w:t>
            </w:r>
            <w:proofErr w:type="spellEnd"/>
            <w:r w:rsidRPr="0036431A">
              <w:rPr>
                <w:rFonts w:ascii="Times New Roman" w:hAnsi="Times New Roman" w:cs="Times New Roman"/>
                <w:sz w:val="20"/>
              </w:rPr>
              <w:t xml:space="preserve"> discipline-specific strategies that support learning</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MMakes</w:t>
            </w:r>
            <w:proofErr w:type="spellEnd"/>
            <w:r w:rsidRPr="0036431A">
              <w:rPr>
                <w:rFonts w:ascii="Times New Roman" w:hAnsi="Times New Roman" w:cs="Times New Roman"/>
                <w:sz w:val="20"/>
              </w:rPr>
              <w:t xml:space="preserve">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w:t>
            </w:r>
            <w:proofErr w:type="spellEnd"/>
            <w:r w:rsidRPr="0036431A">
              <w:rPr>
                <w:rFonts w:ascii="Times New Roman" w:hAnsi="Times New Roman" w:cs="Times New Roman"/>
                <w:sz w:val="20"/>
              </w:rPr>
              <w:t xml:space="preserve">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w:t>
            </w:r>
            <w:proofErr w:type="spellEnd"/>
            <w:r w:rsidRPr="0036431A">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w:t>
            </w:r>
            <w:proofErr w:type="spellEnd"/>
            <w:r w:rsidRPr="0036431A">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ontinuously</w:t>
            </w:r>
            <w:proofErr w:type="spellEnd"/>
            <w:r w:rsidRPr="0036431A">
              <w:rPr>
                <w:rFonts w:ascii="Times New Roman" w:hAnsi="Times New Roman" w:cs="Times New Roman"/>
                <w:sz w:val="20"/>
              </w:rPr>
              <w:t xml:space="preserve"> monitors learners’ learning </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79602C0"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w:t>
            </w:r>
            <w:proofErr w:type="spellEnd"/>
            <w:r w:rsidRPr="0036431A">
              <w:rPr>
                <w:rFonts w:ascii="Times New Roman" w:hAnsi="Times New Roman" w:cs="Times New Roman"/>
                <w:sz w:val="20"/>
              </w:rPr>
              <w:t xml:space="preserve"> performance data to understand each learner’s progress and revise instruction</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w:t>
            </w:r>
            <w:proofErr w:type="spellEnd"/>
            <w:r w:rsidRPr="0036431A">
              <w:rPr>
                <w:rFonts w:ascii="Times New Roman" w:hAnsi="Times New Roman" w:cs="Times New Roman"/>
                <w:sz w:val="20"/>
              </w:rPr>
              <w:t xml:space="preserve">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w:t>
            </w:r>
            <w:proofErr w:type="spellEnd"/>
            <w:r w:rsidRPr="0036431A">
              <w:rPr>
                <w:rFonts w:ascii="Times New Roman" w:hAnsi="Times New Roman" w:cs="Times New Roman"/>
                <w:sz w:val="20"/>
              </w:rPr>
              <w:t xml:space="preserve">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r w:rsidR="005239F1" w:rsidRPr="0036431A" w14:paraId="6D96678A" w14:textId="77777777" w:rsidTr="004C7166">
        <w:trPr>
          <w:cantSplit/>
        </w:trPr>
        <w:tc>
          <w:tcPr>
            <w:tcW w:w="11268" w:type="dxa"/>
            <w:gridSpan w:val="6"/>
          </w:tcPr>
          <w:p w14:paraId="541610FC" w14:textId="1D9DB5FC" w:rsidR="005239F1" w:rsidRPr="0036431A" w:rsidRDefault="00CF0AB6" w:rsidP="005239F1">
            <w:pPr>
              <w:spacing w:before="120" w:after="120"/>
              <w:jc w:val="center"/>
              <w:rPr>
                <w:sz w:val="20"/>
              </w:rPr>
            </w:pPr>
            <w:r>
              <w:rPr>
                <w:b/>
                <w:sz w:val="20"/>
              </w:rPr>
              <w:t>SECONDARY ENGLISH</w:t>
            </w:r>
            <w:r w:rsidR="005239F1" w:rsidRPr="0087339D">
              <w:rPr>
                <w:b/>
                <w:sz w:val="20"/>
              </w:rPr>
              <w:t xml:space="preserve"> ADDENDUM</w:t>
            </w:r>
          </w:p>
        </w:tc>
      </w:tr>
      <w:tr w:rsidR="0047379D" w:rsidRPr="0036431A" w14:paraId="6AAB5B1D" w14:textId="77777777" w:rsidTr="00DD42DF">
        <w:trPr>
          <w:cantSplit/>
        </w:trPr>
        <w:tc>
          <w:tcPr>
            <w:tcW w:w="2178" w:type="dxa"/>
          </w:tcPr>
          <w:p w14:paraId="0DDDCD35" w14:textId="77777777" w:rsidR="0047379D" w:rsidRDefault="0047379D" w:rsidP="005239F1">
            <w:pPr>
              <w:pStyle w:val="ListParagraph"/>
              <w:numPr>
                <w:ilvl w:val="0"/>
                <w:numId w:val="16"/>
              </w:numPr>
              <w:ind w:hanging="720"/>
              <w:rPr>
                <w:rFonts w:ascii="Times New Roman" w:hAnsi="Times New Roman" w:cs="Times New Roman"/>
                <w:sz w:val="20"/>
              </w:rPr>
            </w:pPr>
          </w:p>
          <w:p w14:paraId="2A628881" w14:textId="20A79606" w:rsidR="0047379D" w:rsidRPr="005239F1" w:rsidRDefault="0047379D" w:rsidP="005239F1">
            <w:pPr>
              <w:rPr>
                <w:sz w:val="20"/>
              </w:rPr>
            </w:pPr>
            <w:r w:rsidRPr="007A2C2B">
              <w:rPr>
                <w:sz w:val="20"/>
              </w:rPr>
              <w:t>Plans instruction which, when appropriate, reflects curriculum integration and incorporates interdisciplinary teaching methods and materials (NCTE 3.6)</w:t>
            </w:r>
          </w:p>
          <w:p w14:paraId="52ECC5BB" w14:textId="77777777" w:rsidR="0047379D" w:rsidRPr="005239F1" w:rsidRDefault="0047379D" w:rsidP="005239F1">
            <w:pPr>
              <w:rPr>
                <w:sz w:val="20"/>
              </w:rPr>
            </w:pPr>
          </w:p>
        </w:tc>
        <w:tc>
          <w:tcPr>
            <w:tcW w:w="2070" w:type="dxa"/>
          </w:tcPr>
          <w:p w14:paraId="606A6D8D" w14:textId="12789C5E" w:rsidR="0047379D" w:rsidRPr="0036431A" w:rsidRDefault="0047379D" w:rsidP="00DD42DF">
            <w:pPr>
              <w:rPr>
                <w:sz w:val="20"/>
              </w:rPr>
            </w:pPr>
            <w:r w:rsidRPr="007A2C2B">
              <w:rPr>
                <w:sz w:val="20"/>
              </w:rPr>
              <w:t>Candidate does not plan instruction that reflects curriculum integration or incorporates interdisciplinary teaching methods and materials.</w:t>
            </w:r>
          </w:p>
        </w:tc>
        <w:tc>
          <w:tcPr>
            <w:tcW w:w="1980" w:type="dxa"/>
          </w:tcPr>
          <w:p w14:paraId="6DF99329" w14:textId="5C88F8D3" w:rsidR="0047379D" w:rsidRPr="0036431A" w:rsidRDefault="0047379D" w:rsidP="00DD42DF">
            <w:pPr>
              <w:rPr>
                <w:sz w:val="20"/>
              </w:rPr>
            </w:pPr>
            <w:r w:rsidRPr="007A2C2B">
              <w:rPr>
                <w:sz w:val="20"/>
              </w:rPr>
              <w:t>Candidate plans instruction that reflects curriculum integration to a limited extent and incorporates a minimal amount of interdisciplinary teaching methods and materials.</w:t>
            </w:r>
          </w:p>
        </w:tc>
        <w:tc>
          <w:tcPr>
            <w:tcW w:w="1980" w:type="dxa"/>
          </w:tcPr>
          <w:p w14:paraId="1A8F7D0A" w14:textId="629A64DE" w:rsidR="0047379D" w:rsidRPr="0036431A" w:rsidRDefault="0047379D" w:rsidP="00DD42DF">
            <w:pPr>
              <w:rPr>
                <w:sz w:val="20"/>
              </w:rPr>
            </w:pPr>
            <w:r w:rsidRPr="007A2C2B">
              <w:rPr>
                <w:sz w:val="20"/>
              </w:rPr>
              <w:t>Candidate plans instruction that reflects curriculum integration and incorporates interdisciplinary teaching methods and materials as appropriate.</w:t>
            </w:r>
          </w:p>
        </w:tc>
        <w:tc>
          <w:tcPr>
            <w:tcW w:w="2160" w:type="dxa"/>
          </w:tcPr>
          <w:p w14:paraId="0DBCA6E7" w14:textId="575B0BD4" w:rsidR="0047379D" w:rsidRPr="0036431A" w:rsidRDefault="0047379D" w:rsidP="005137F6">
            <w:pPr>
              <w:rPr>
                <w:sz w:val="20"/>
              </w:rPr>
            </w:pPr>
            <w:r w:rsidRPr="007A2C2B">
              <w:rPr>
                <w:sz w:val="20"/>
              </w:rPr>
              <w:t xml:space="preserve">Candidate plans instruction that reflects meaningful curriculum integration and incorporates </w:t>
            </w:r>
            <w:r>
              <w:rPr>
                <w:sz w:val="20"/>
              </w:rPr>
              <w:t xml:space="preserve">numerous </w:t>
            </w:r>
            <w:r w:rsidRPr="007A2C2B">
              <w:rPr>
                <w:sz w:val="20"/>
              </w:rPr>
              <w:t>interdisciplinary teaching methods and materials in a thoughtful and thorough way.</w:t>
            </w:r>
          </w:p>
        </w:tc>
        <w:tc>
          <w:tcPr>
            <w:tcW w:w="900" w:type="dxa"/>
          </w:tcPr>
          <w:p w14:paraId="195B9D39" w14:textId="77777777" w:rsidR="0047379D" w:rsidRPr="0036431A" w:rsidRDefault="0047379D" w:rsidP="00DD42DF">
            <w:pPr>
              <w:rPr>
                <w:sz w:val="20"/>
              </w:rPr>
            </w:pPr>
          </w:p>
        </w:tc>
      </w:tr>
      <w:tr w:rsidR="0047379D" w:rsidRPr="0036431A" w14:paraId="4C7F943C" w14:textId="77777777" w:rsidTr="00C97AD0">
        <w:trPr>
          <w:cantSplit/>
        </w:trPr>
        <w:tc>
          <w:tcPr>
            <w:tcW w:w="11268" w:type="dxa"/>
            <w:gridSpan w:val="6"/>
          </w:tcPr>
          <w:p w14:paraId="622D78A2" w14:textId="77777777" w:rsidR="0047379D" w:rsidRPr="005239F1" w:rsidRDefault="0047379D" w:rsidP="005239F1">
            <w:pPr>
              <w:rPr>
                <w:b/>
                <w:sz w:val="20"/>
              </w:rPr>
            </w:pPr>
            <w:r w:rsidRPr="005239F1">
              <w:rPr>
                <w:b/>
                <w:sz w:val="20"/>
              </w:rPr>
              <w:t>Comments:</w:t>
            </w:r>
          </w:p>
          <w:p w14:paraId="088409FB" w14:textId="77777777" w:rsidR="0047379D" w:rsidRPr="005239F1" w:rsidRDefault="0047379D" w:rsidP="00DD42DF">
            <w:pPr>
              <w:rPr>
                <w:sz w:val="20"/>
              </w:rPr>
            </w:pPr>
          </w:p>
        </w:tc>
      </w:tr>
      <w:tr w:rsidR="0047379D" w:rsidRPr="0036431A" w14:paraId="76AD3B66" w14:textId="77777777" w:rsidTr="00DD42DF">
        <w:trPr>
          <w:cantSplit/>
        </w:trPr>
        <w:tc>
          <w:tcPr>
            <w:tcW w:w="2178" w:type="dxa"/>
          </w:tcPr>
          <w:p w14:paraId="1FE0B769" w14:textId="77777777" w:rsidR="0047379D" w:rsidRDefault="0047379D" w:rsidP="005239F1">
            <w:pPr>
              <w:pStyle w:val="ListParagraph"/>
              <w:numPr>
                <w:ilvl w:val="0"/>
                <w:numId w:val="16"/>
              </w:numPr>
              <w:ind w:hanging="720"/>
              <w:rPr>
                <w:rFonts w:ascii="Times New Roman" w:hAnsi="Times New Roman" w:cs="Times New Roman"/>
                <w:sz w:val="20"/>
              </w:rPr>
            </w:pPr>
          </w:p>
          <w:p w14:paraId="05305715" w14:textId="75EEA29A" w:rsidR="0047379D" w:rsidRPr="005239F1" w:rsidRDefault="0047379D" w:rsidP="005239F1">
            <w:pPr>
              <w:rPr>
                <w:sz w:val="20"/>
              </w:rPr>
            </w:pPr>
            <w:r w:rsidRPr="007A2C2B">
              <w:rPr>
                <w:sz w:val="20"/>
              </w:rPr>
              <w:t xml:space="preserve">Selects, creates, and uses a variety of instructional strategies and teaching resources, including contemporary technologies and digital media, consistent with what is currently known about student learning in ELA  </w:t>
            </w:r>
            <w:r w:rsidRPr="007A2C2B">
              <w:rPr>
                <w:i/>
                <w:sz w:val="20"/>
              </w:rPr>
              <w:t xml:space="preserve">(P4, I2, I4 relate and can be drawn on) </w:t>
            </w:r>
            <w:r w:rsidRPr="007A2C2B">
              <w:rPr>
                <w:sz w:val="20"/>
              </w:rPr>
              <w:t>(NCTE 5.4)</w:t>
            </w:r>
          </w:p>
        </w:tc>
        <w:tc>
          <w:tcPr>
            <w:tcW w:w="2070" w:type="dxa"/>
          </w:tcPr>
          <w:p w14:paraId="2A8977B4" w14:textId="6969D21D" w:rsidR="0047379D" w:rsidRPr="0036431A" w:rsidRDefault="0047379D" w:rsidP="00DD42DF">
            <w:pPr>
              <w:rPr>
                <w:sz w:val="20"/>
              </w:rPr>
            </w:pPr>
            <w:r w:rsidRPr="007A2C2B">
              <w:rPr>
                <w:sz w:val="20"/>
              </w:rPr>
              <w:t xml:space="preserve">Candidate does not select, create, and/or use a variety of instructional strategies and teaching resources, including contemporary technologies and digital media, consistent with what is currently known about student learning in ELA.  </w:t>
            </w:r>
          </w:p>
        </w:tc>
        <w:tc>
          <w:tcPr>
            <w:tcW w:w="1980" w:type="dxa"/>
          </w:tcPr>
          <w:p w14:paraId="76C1FB45" w14:textId="140810F5" w:rsidR="0047379D" w:rsidRPr="0036431A" w:rsidRDefault="0047379D" w:rsidP="00DD42DF">
            <w:pPr>
              <w:rPr>
                <w:sz w:val="20"/>
              </w:rPr>
            </w:pPr>
            <w:r w:rsidRPr="007A2C2B">
              <w:rPr>
                <w:sz w:val="20"/>
              </w:rPr>
              <w:t>Candidate selects, creates, or uses a limited variety of instructional strategies and teaching resources.  Contemporary technologies and digital media are not consistently used, and/or attention to currently knowledge about student learning in ELA is not evident.</w:t>
            </w:r>
          </w:p>
        </w:tc>
        <w:tc>
          <w:tcPr>
            <w:tcW w:w="1980" w:type="dxa"/>
          </w:tcPr>
          <w:p w14:paraId="0AD17FD4" w14:textId="7293F417" w:rsidR="0047379D" w:rsidRPr="0036431A" w:rsidRDefault="0047379D" w:rsidP="00DD42DF">
            <w:pPr>
              <w:rPr>
                <w:sz w:val="20"/>
              </w:rPr>
            </w:pPr>
            <w:r w:rsidRPr="007A2C2B">
              <w:rPr>
                <w:sz w:val="20"/>
              </w:rPr>
              <w:t xml:space="preserve">Candidates selects, creates, and uses a variety of instructional strategies and teaching resources, including contemporary technologies and digital media, consistent with what is currently known about student learning in ELA. </w:t>
            </w:r>
          </w:p>
        </w:tc>
        <w:tc>
          <w:tcPr>
            <w:tcW w:w="2160" w:type="dxa"/>
          </w:tcPr>
          <w:p w14:paraId="2221A1F0" w14:textId="1D7BC787" w:rsidR="0047379D" w:rsidRPr="0036431A" w:rsidRDefault="0047379D" w:rsidP="005137F6">
            <w:pPr>
              <w:rPr>
                <w:sz w:val="20"/>
              </w:rPr>
            </w:pPr>
            <w:r w:rsidRPr="007A2C2B">
              <w:rPr>
                <w:sz w:val="20"/>
              </w:rPr>
              <w:t xml:space="preserve">Candidate selects, creates, and uses a rich variety of instructional strategies and teaching resources, including multiple examples of contemporary technologies and digital media, consistent with what is currently known about student learning in ELA.  </w:t>
            </w:r>
          </w:p>
        </w:tc>
        <w:tc>
          <w:tcPr>
            <w:tcW w:w="900" w:type="dxa"/>
          </w:tcPr>
          <w:p w14:paraId="7F4E3752" w14:textId="77777777" w:rsidR="0047379D" w:rsidRPr="0036431A" w:rsidRDefault="0047379D" w:rsidP="00DD42DF">
            <w:pPr>
              <w:rPr>
                <w:sz w:val="20"/>
              </w:rPr>
            </w:pPr>
          </w:p>
        </w:tc>
      </w:tr>
      <w:tr w:rsidR="0047379D" w:rsidRPr="0036431A" w14:paraId="519AC8BB" w14:textId="77777777" w:rsidTr="00110890">
        <w:trPr>
          <w:cantSplit/>
        </w:trPr>
        <w:tc>
          <w:tcPr>
            <w:tcW w:w="11268" w:type="dxa"/>
            <w:gridSpan w:val="6"/>
          </w:tcPr>
          <w:p w14:paraId="1C7D13F0" w14:textId="77777777" w:rsidR="0047379D" w:rsidRPr="005239F1" w:rsidRDefault="0047379D" w:rsidP="0047379D">
            <w:pPr>
              <w:rPr>
                <w:b/>
                <w:sz w:val="20"/>
              </w:rPr>
            </w:pPr>
            <w:r w:rsidRPr="005239F1">
              <w:rPr>
                <w:b/>
                <w:sz w:val="20"/>
              </w:rPr>
              <w:t>Comments:</w:t>
            </w:r>
          </w:p>
          <w:p w14:paraId="62B4EAA6" w14:textId="77777777" w:rsidR="0047379D" w:rsidRPr="0036431A" w:rsidRDefault="0047379D" w:rsidP="00DD42DF">
            <w:pPr>
              <w:rPr>
                <w:sz w:val="20"/>
              </w:rPr>
            </w:pPr>
          </w:p>
        </w:tc>
      </w:tr>
      <w:tr w:rsidR="0047379D" w:rsidRPr="0036431A" w14:paraId="72C7A055" w14:textId="77777777" w:rsidTr="00DD42DF">
        <w:trPr>
          <w:cantSplit/>
        </w:trPr>
        <w:tc>
          <w:tcPr>
            <w:tcW w:w="2178" w:type="dxa"/>
          </w:tcPr>
          <w:p w14:paraId="13ACA866" w14:textId="77777777" w:rsidR="0047379D" w:rsidRPr="0047379D" w:rsidRDefault="0047379D" w:rsidP="005239F1">
            <w:pPr>
              <w:pStyle w:val="ListParagraph"/>
              <w:numPr>
                <w:ilvl w:val="0"/>
                <w:numId w:val="16"/>
              </w:numPr>
              <w:ind w:hanging="720"/>
              <w:rPr>
                <w:rFonts w:ascii="Times New Roman" w:hAnsi="Times New Roman" w:cs="Times New Roman"/>
                <w:sz w:val="20"/>
              </w:rPr>
            </w:pPr>
          </w:p>
          <w:p w14:paraId="3E6D398C" w14:textId="1644CB04" w:rsidR="0047379D" w:rsidRPr="0047379D" w:rsidRDefault="0047379D" w:rsidP="0047379D">
            <w:pPr>
              <w:rPr>
                <w:sz w:val="20"/>
              </w:rPr>
            </w:pPr>
            <w:r w:rsidRPr="0047379D">
              <w:rPr>
                <w:sz w:val="20"/>
              </w:rPr>
              <w:t xml:space="preserve">Models literate and ethical practices in ELA teaching, and engages in and reflects on a variety of experiences related to ELA </w:t>
            </w:r>
            <w:r w:rsidRPr="0047379D">
              <w:rPr>
                <w:i/>
                <w:sz w:val="20"/>
              </w:rPr>
              <w:t xml:space="preserve">(L1, L5, PR1, PR4, PR7 relate and can be drawn on) </w:t>
            </w:r>
            <w:r w:rsidRPr="0047379D">
              <w:rPr>
                <w:sz w:val="20"/>
              </w:rPr>
              <w:t>(NCTE 7.1)</w:t>
            </w:r>
          </w:p>
        </w:tc>
        <w:tc>
          <w:tcPr>
            <w:tcW w:w="2070" w:type="dxa"/>
          </w:tcPr>
          <w:p w14:paraId="7F4573BE" w14:textId="36312CED" w:rsidR="0047379D" w:rsidRPr="007A2C2B" w:rsidRDefault="0047379D" w:rsidP="00DD42DF">
            <w:pPr>
              <w:rPr>
                <w:sz w:val="20"/>
              </w:rPr>
            </w:pPr>
            <w:r w:rsidRPr="007A2C2B">
              <w:rPr>
                <w:sz w:val="20"/>
              </w:rPr>
              <w:t>Candidate does not model literate and ethical practices in ELA teaching, does not engage in or reflect on a variety of experiences related to ELA.</w:t>
            </w:r>
          </w:p>
        </w:tc>
        <w:tc>
          <w:tcPr>
            <w:tcW w:w="1980" w:type="dxa"/>
          </w:tcPr>
          <w:p w14:paraId="26762F98" w14:textId="555518A1" w:rsidR="0047379D" w:rsidRPr="007A2C2B" w:rsidRDefault="0047379D" w:rsidP="00DD42DF">
            <w:pPr>
              <w:rPr>
                <w:sz w:val="20"/>
              </w:rPr>
            </w:pPr>
            <w:r w:rsidRPr="007A2C2B">
              <w:rPr>
                <w:sz w:val="20"/>
              </w:rPr>
              <w:t>At times, candidate attempts to model literate and ethical practices in ELA teaching, but performance is not consistent. Candidate does not regularly engage in and reflect on a variety of experiences related to ELA.</w:t>
            </w:r>
          </w:p>
        </w:tc>
        <w:tc>
          <w:tcPr>
            <w:tcW w:w="1980" w:type="dxa"/>
          </w:tcPr>
          <w:p w14:paraId="1F0C9F88" w14:textId="3076A351" w:rsidR="0047379D" w:rsidRPr="007A2C2B" w:rsidRDefault="0047379D" w:rsidP="00DD42DF">
            <w:pPr>
              <w:rPr>
                <w:sz w:val="20"/>
              </w:rPr>
            </w:pPr>
            <w:r w:rsidRPr="007A2C2B">
              <w:rPr>
                <w:sz w:val="20"/>
              </w:rPr>
              <w:t>Candidate models literate and ethical practices in ELA teaching, and engage in and reflect on a variety of experiences related to ELA</w:t>
            </w:r>
          </w:p>
        </w:tc>
        <w:tc>
          <w:tcPr>
            <w:tcW w:w="2160" w:type="dxa"/>
          </w:tcPr>
          <w:p w14:paraId="4250D88E" w14:textId="52642641" w:rsidR="0047379D" w:rsidRPr="007A2C2B" w:rsidRDefault="0047379D" w:rsidP="005137F6">
            <w:pPr>
              <w:rPr>
                <w:sz w:val="20"/>
              </w:rPr>
            </w:pPr>
            <w:r w:rsidRPr="007A2C2B">
              <w:rPr>
                <w:sz w:val="20"/>
              </w:rPr>
              <w:t>Candidate is an extremely strong model of literate and ethical practices in ELA teaching. Candidate regularly engages in and reflects deeply on a variety of experiences related to ELA.</w:t>
            </w:r>
          </w:p>
        </w:tc>
        <w:tc>
          <w:tcPr>
            <w:tcW w:w="900" w:type="dxa"/>
          </w:tcPr>
          <w:p w14:paraId="3290A99C" w14:textId="77777777" w:rsidR="0047379D" w:rsidRPr="0036431A" w:rsidRDefault="0047379D" w:rsidP="00DD42DF">
            <w:pPr>
              <w:rPr>
                <w:sz w:val="20"/>
              </w:rPr>
            </w:pPr>
          </w:p>
        </w:tc>
      </w:tr>
      <w:tr w:rsidR="0047379D" w:rsidRPr="0036431A" w14:paraId="3FFBC815" w14:textId="77777777" w:rsidTr="0023629D">
        <w:trPr>
          <w:cantSplit/>
        </w:trPr>
        <w:tc>
          <w:tcPr>
            <w:tcW w:w="11268" w:type="dxa"/>
            <w:gridSpan w:val="6"/>
          </w:tcPr>
          <w:p w14:paraId="7D79B835" w14:textId="77777777" w:rsidR="0047379D" w:rsidRPr="005239F1" w:rsidRDefault="0047379D" w:rsidP="0047379D">
            <w:pPr>
              <w:rPr>
                <w:b/>
                <w:sz w:val="20"/>
              </w:rPr>
            </w:pPr>
            <w:r w:rsidRPr="005239F1">
              <w:rPr>
                <w:b/>
                <w:sz w:val="20"/>
              </w:rPr>
              <w:t>Comments:</w:t>
            </w:r>
          </w:p>
          <w:p w14:paraId="5450EF5E" w14:textId="77777777" w:rsidR="0047379D" w:rsidRPr="0036431A" w:rsidRDefault="0047379D" w:rsidP="00DD42DF">
            <w:pPr>
              <w:rPr>
                <w:sz w:val="20"/>
              </w:rPr>
            </w:pPr>
          </w:p>
        </w:tc>
      </w:tr>
      <w:tr w:rsidR="0047379D" w:rsidRPr="0036431A" w14:paraId="60BA59C9" w14:textId="77777777" w:rsidTr="00DD42DF">
        <w:trPr>
          <w:cantSplit/>
        </w:trPr>
        <w:tc>
          <w:tcPr>
            <w:tcW w:w="2178" w:type="dxa"/>
          </w:tcPr>
          <w:p w14:paraId="05FF91F5" w14:textId="77777777" w:rsidR="0047379D" w:rsidRPr="0047379D" w:rsidRDefault="0047379D" w:rsidP="005239F1">
            <w:pPr>
              <w:pStyle w:val="ListParagraph"/>
              <w:numPr>
                <w:ilvl w:val="0"/>
                <w:numId w:val="16"/>
              </w:numPr>
              <w:ind w:hanging="720"/>
              <w:rPr>
                <w:rFonts w:ascii="Times New Roman" w:hAnsi="Times New Roman" w:cs="Times New Roman"/>
                <w:sz w:val="20"/>
              </w:rPr>
            </w:pPr>
          </w:p>
          <w:p w14:paraId="324FD5C6" w14:textId="66F126FE" w:rsidR="0047379D" w:rsidRPr="0047379D" w:rsidRDefault="0047379D" w:rsidP="0047379D">
            <w:pPr>
              <w:rPr>
                <w:sz w:val="20"/>
              </w:rPr>
            </w:pPr>
            <w:r w:rsidRPr="0047379D">
              <w:rPr>
                <w:sz w:val="20"/>
              </w:rPr>
              <w:t xml:space="preserve">Engages in and reflects on a variety of experiences related to ELA that demonstrate understanding of and readiness for leadership, collaboration, ongoing professional development, and community engagement </w:t>
            </w:r>
            <w:r w:rsidRPr="0047379D">
              <w:rPr>
                <w:i/>
                <w:sz w:val="20"/>
              </w:rPr>
              <w:t xml:space="preserve">(PR3, PR5, PR6 relate and can be drawn on) </w:t>
            </w:r>
            <w:r w:rsidRPr="0047379D">
              <w:rPr>
                <w:sz w:val="20"/>
              </w:rPr>
              <w:t>(NCTE 7.2)</w:t>
            </w:r>
          </w:p>
        </w:tc>
        <w:tc>
          <w:tcPr>
            <w:tcW w:w="2070" w:type="dxa"/>
          </w:tcPr>
          <w:p w14:paraId="3BC8E5A5" w14:textId="6D100EA3" w:rsidR="0047379D" w:rsidRPr="007A2C2B" w:rsidRDefault="0047379D" w:rsidP="00DD42DF">
            <w:pPr>
              <w:rPr>
                <w:sz w:val="20"/>
              </w:rPr>
            </w:pPr>
            <w:r w:rsidRPr="007A2C2B">
              <w:rPr>
                <w:sz w:val="20"/>
              </w:rPr>
              <w:t>Candidate does not engage in or reflect on a variety of experiences related to ELA that demonstrate understanding of and readiness for leadership, collaboration, ongoing professional development, and community engagement.</w:t>
            </w:r>
          </w:p>
        </w:tc>
        <w:tc>
          <w:tcPr>
            <w:tcW w:w="1980" w:type="dxa"/>
          </w:tcPr>
          <w:p w14:paraId="251EC72E" w14:textId="1C0E6AD8" w:rsidR="0047379D" w:rsidRPr="007A2C2B" w:rsidRDefault="0047379D" w:rsidP="00DD42DF">
            <w:pPr>
              <w:rPr>
                <w:sz w:val="20"/>
              </w:rPr>
            </w:pPr>
            <w:r w:rsidRPr="007A2C2B">
              <w:rPr>
                <w:sz w:val="20"/>
              </w:rPr>
              <w:t>At times, candidate attempts to engage in and reflects on a variety of experiences related to ELA that demonstrate understanding of and readiness for leadership, collaboration, ongoing professional development, and community engagement, but performance is not consistent.</w:t>
            </w:r>
          </w:p>
        </w:tc>
        <w:tc>
          <w:tcPr>
            <w:tcW w:w="1980" w:type="dxa"/>
          </w:tcPr>
          <w:p w14:paraId="28CBFA31" w14:textId="70259C09" w:rsidR="0047379D" w:rsidRPr="007A2C2B" w:rsidRDefault="0047379D" w:rsidP="00DD42DF">
            <w:pPr>
              <w:rPr>
                <w:sz w:val="20"/>
              </w:rPr>
            </w:pPr>
            <w:r w:rsidRPr="007A2C2B">
              <w:rPr>
                <w:sz w:val="20"/>
              </w:rPr>
              <w:t>Candidate engages in and reflects on a variety of experiences related to ELA that demonstrate understanding of and readiness for leadership, collaboration, ongoing professional development, and community engagement.</w:t>
            </w:r>
          </w:p>
        </w:tc>
        <w:tc>
          <w:tcPr>
            <w:tcW w:w="2160" w:type="dxa"/>
          </w:tcPr>
          <w:p w14:paraId="3449F268" w14:textId="6DDFEE9E" w:rsidR="0047379D" w:rsidRPr="007A2C2B" w:rsidRDefault="0047379D" w:rsidP="005137F6">
            <w:pPr>
              <w:rPr>
                <w:sz w:val="20"/>
              </w:rPr>
            </w:pPr>
            <w:r w:rsidRPr="007A2C2B">
              <w:rPr>
                <w:sz w:val="20"/>
              </w:rPr>
              <w:t>Candidate regularly and eagerly engages in and reflects on a variety of experiences related to ELA that demonstrate understanding of and readiness for leadership, collaboration, ongoing professional development, and community engagement. Candidate takes a leadership role, collaborates effectively, participates in professional development, and engages the community.</w:t>
            </w:r>
          </w:p>
        </w:tc>
        <w:tc>
          <w:tcPr>
            <w:tcW w:w="900" w:type="dxa"/>
          </w:tcPr>
          <w:p w14:paraId="13E559FF" w14:textId="77777777" w:rsidR="0047379D" w:rsidRPr="0036431A" w:rsidRDefault="0047379D" w:rsidP="00DD42DF">
            <w:pPr>
              <w:rPr>
                <w:sz w:val="20"/>
              </w:rPr>
            </w:pPr>
          </w:p>
        </w:tc>
      </w:tr>
      <w:tr w:rsidR="0047379D" w:rsidRPr="0036431A" w14:paraId="667DAD9A" w14:textId="77777777" w:rsidTr="009D7944">
        <w:trPr>
          <w:cantSplit/>
        </w:trPr>
        <w:tc>
          <w:tcPr>
            <w:tcW w:w="11268" w:type="dxa"/>
            <w:gridSpan w:val="6"/>
          </w:tcPr>
          <w:p w14:paraId="6CBE3A02" w14:textId="77777777" w:rsidR="0047379D" w:rsidRPr="005239F1" w:rsidRDefault="0047379D" w:rsidP="005239F1">
            <w:pPr>
              <w:rPr>
                <w:b/>
                <w:sz w:val="20"/>
              </w:rPr>
            </w:pPr>
            <w:r w:rsidRPr="005239F1">
              <w:rPr>
                <w:b/>
                <w:sz w:val="20"/>
              </w:rPr>
              <w:t>Comments:</w:t>
            </w:r>
          </w:p>
          <w:p w14:paraId="65B18665" w14:textId="77777777" w:rsidR="0047379D" w:rsidRPr="005239F1" w:rsidRDefault="0047379D"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515FB8">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D4C0"/>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8"/>
  </w:num>
  <w:num w:numId="6">
    <w:abstractNumId w:val="6"/>
  </w:num>
  <w:num w:numId="7">
    <w:abstractNumId w:val="0"/>
  </w:num>
  <w:num w:numId="8">
    <w:abstractNumId w:val="7"/>
  </w:num>
  <w:num w:numId="9">
    <w:abstractNumId w:val="10"/>
  </w:num>
  <w:num w:numId="10">
    <w:abstractNumId w:val="4"/>
  </w:num>
  <w:num w:numId="11">
    <w:abstractNumId w:val="2"/>
  </w:num>
  <w:num w:numId="12">
    <w:abstractNumId w:val="3"/>
  </w:num>
  <w:num w:numId="13">
    <w:abstractNumId w:val="14"/>
  </w:num>
  <w:num w:numId="14">
    <w:abstractNumId w:val="12"/>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7379D"/>
    <w:rsid w:val="00497C26"/>
    <w:rsid w:val="004C3AC4"/>
    <w:rsid w:val="004F2E6C"/>
    <w:rsid w:val="00500D42"/>
    <w:rsid w:val="005137F6"/>
    <w:rsid w:val="00515FB8"/>
    <w:rsid w:val="005239F1"/>
    <w:rsid w:val="00526C3E"/>
    <w:rsid w:val="00536498"/>
    <w:rsid w:val="00536C94"/>
    <w:rsid w:val="005643C2"/>
    <w:rsid w:val="005A42B3"/>
    <w:rsid w:val="005A4C31"/>
    <w:rsid w:val="005F2167"/>
    <w:rsid w:val="005F5FFD"/>
    <w:rsid w:val="00620233"/>
    <w:rsid w:val="00630A96"/>
    <w:rsid w:val="006762FA"/>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CF0AB6"/>
    <w:rsid w:val="00D230FA"/>
    <w:rsid w:val="00D236DB"/>
    <w:rsid w:val="00D44813"/>
    <w:rsid w:val="00D46828"/>
    <w:rsid w:val="00D72AD7"/>
    <w:rsid w:val="00D80DE3"/>
    <w:rsid w:val="00DC2EB7"/>
    <w:rsid w:val="00DD42DF"/>
    <w:rsid w:val="00DD79F6"/>
    <w:rsid w:val="00DF4487"/>
    <w:rsid w:val="00E07FAB"/>
    <w:rsid w:val="00E14007"/>
    <w:rsid w:val="00E419A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3570</Words>
  <Characters>20351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2</cp:revision>
  <cp:lastPrinted>2015-09-17T15:20:00Z</cp:lastPrinted>
  <dcterms:created xsi:type="dcterms:W3CDTF">2016-09-29T20:43:00Z</dcterms:created>
  <dcterms:modified xsi:type="dcterms:W3CDTF">2016-09-29T20:43:00Z</dcterms:modified>
</cp:coreProperties>
</file>